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r w:rsidR="000D3447">
        <w:t>Буровой Натальи Николаевны</w:t>
      </w:r>
      <w:r w:rsidRPr="00772BD7">
        <w:t>, действующе</w:t>
      </w:r>
      <w:r w:rsidR="000D3447">
        <w:t>й</w:t>
      </w:r>
      <w:r w:rsidRPr="00772BD7">
        <w:t xml:space="preserve">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00320F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от __________ </w:t>
      </w:r>
      <w:r w:rsidR="00362F0B" w:rsidRPr="00772BD7">
        <w:t xml:space="preserve">на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4478EC" w:rsidRPr="004478EC">
        <w:rPr>
          <w:b/>
        </w:rPr>
        <w:t>Томская область, г. Томск, ул. Мостовая, 38/16</w:t>
      </w:r>
      <w:r w:rsidR="004478EC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r w:rsidRPr="00772BD7">
        <w:t>от _____________</w:t>
      </w:r>
      <w:r w:rsidRPr="00772BD7">
        <w:rPr>
          <w:bCs/>
        </w:rPr>
        <w:t>.</w:t>
      </w:r>
    </w:p>
    <w:p w:rsidR="00F84C17" w:rsidRPr="007B3DEA" w:rsidRDefault="00CE4A46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0D3447" w:rsidRPr="00284425">
        <w:t xml:space="preserve"> </w:t>
      </w:r>
      <w:r w:rsidR="004478EC" w:rsidRPr="004478EC">
        <w:rPr>
          <w:b/>
        </w:rPr>
        <w:t>Томская область, г. Томск, ул. Мостовая, 38/16</w:t>
      </w:r>
      <w:r w:rsidR="007E0B5A">
        <w:t xml:space="preserve"> </w:t>
      </w:r>
      <w:r w:rsidR="007E0B5A" w:rsidRPr="002B1889">
        <w:t xml:space="preserve">с кадастровым номером </w:t>
      </w:r>
      <w:r w:rsidR="007E0B5A" w:rsidRPr="007E0B5A">
        <w:rPr>
          <w:b/>
        </w:rPr>
        <w:t>70:21:</w:t>
      </w:r>
      <w:r w:rsidR="004478EC">
        <w:rPr>
          <w:b/>
        </w:rPr>
        <w:t>0100004:3642</w:t>
      </w:r>
      <w:r w:rsidR="007E0B5A">
        <w:t xml:space="preserve"> площадью </w:t>
      </w:r>
      <w:r w:rsidR="004478EC">
        <w:rPr>
          <w:b/>
        </w:rPr>
        <w:t>6511</w:t>
      </w:r>
      <w:r w:rsidR="007E0B5A" w:rsidRPr="007E0B5A">
        <w:rPr>
          <w:b/>
        </w:rPr>
        <w:t xml:space="preserve"> кв.м</w:t>
      </w:r>
      <w:r w:rsidR="007B3DEA" w:rsidRPr="007B3DEA">
        <w:rPr>
          <w:b/>
        </w:rPr>
        <w:t>.</w:t>
      </w:r>
    </w:p>
    <w:p w:rsidR="00596E26" w:rsidRPr="007E0B5A" w:rsidRDefault="006B7160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B90F8F" w:rsidRPr="00B90F8F">
        <w:rPr>
          <w:b/>
        </w:rPr>
        <w:t xml:space="preserve">для </w:t>
      </w:r>
      <w:r w:rsidR="007E0B5A" w:rsidRPr="007E0B5A">
        <w:rPr>
          <w:b/>
          <w:color w:val="000000"/>
        </w:rPr>
        <w:t xml:space="preserve">строительства </w:t>
      </w:r>
      <w:r w:rsidR="004478EC" w:rsidRPr="004478EC">
        <w:rPr>
          <w:b/>
        </w:rPr>
        <w:t>сооружений для хранения транспортных средств</w:t>
      </w:r>
      <w:r w:rsidR="00596E26" w:rsidRPr="007E0B5A">
        <w:rPr>
          <w:b/>
          <w:color w:val="000000"/>
        </w:rPr>
        <w:t>.</w:t>
      </w:r>
      <w:r w:rsidR="00596E26" w:rsidRPr="007E0B5A">
        <w:rPr>
          <w:b/>
        </w:rPr>
        <w:t xml:space="preserve"> </w:t>
      </w:r>
    </w:p>
    <w:p w:rsidR="006B7160" w:rsidRPr="00E06E99" w:rsidRDefault="006B7160" w:rsidP="0000320F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4478EC">
        <w:t>сооружения для хранения транспортных средств</w:t>
      </w:r>
      <w:r w:rsidR="00363921" w:rsidRPr="00494BB3">
        <w:rPr>
          <w:b/>
          <w:color w:val="000000"/>
        </w:rPr>
        <w:t>.</w:t>
      </w:r>
    </w:p>
    <w:p w:rsidR="00284B1C" w:rsidRPr="006511CA" w:rsidRDefault="006B7160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4478EC" w:rsidRPr="004478EC">
        <w:rPr>
          <w:b/>
        </w:rPr>
        <w:t>земельный участок расположен в третьем поясе зоны санитарной охраны артезианских водонапорных скважин №№ ТМ-464, ТМ-480 для целей питьевого и хозяйственно-бытового водоснабжения объектов ООО ПКП «Провансаль» (г. Томск, ЛПК 2-й поселок, 109/5), утвержденной приказом департамента природных ресурсов и охраны окружающей среды Томской области от 19.07.2012 № 248</w:t>
      </w:r>
      <w:r w:rsidR="00D72115" w:rsidRPr="006511CA">
        <w:rPr>
          <w:b/>
        </w:rPr>
        <w:t>.</w:t>
      </w:r>
    </w:p>
    <w:p w:rsidR="008E0386" w:rsidRPr="007C239D" w:rsidRDefault="0014566E" w:rsidP="0000320F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</w:t>
      </w:r>
      <w:r w:rsidR="006B7160" w:rsidRPr="004478EC">
        <w:rPr>
          <w:b/>
        </w:rPr>
        <w:t>:</w:t>
      </w:r>
      <w:r w:rsidR="00326AC5" w:rsidRPr="004478EC">
        <w:rPr>
          <w:b/>
        </w:rPr>
        <w:t xml:space="preserve"> </w:t>
      </w:r>
      <w:r w:rsidR="004478EC" w:rsidRPr="004478EC">
        <w:rPr>
          <w:b/>
        </w:rPr>
        <w:t>территория земельного участка заставлена строительной техникой и завалена отходами</w:t>
      </w:r>
      <w:r w:rsidR="00634202" w:rsidRPr="001053FE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7E0B5A" w:rsidRPr="00933C82">
        <w:t xml:space="preserve">земельный  участок  расположен в границах территориальной зоны </w:t>
      </w:r>
      <w:r w:rsidR="007E0B5A">
        <w:t xml:space="preserve">производственно-коммунальных объектов </w:t>
      </w:r>
      <w:r w:rsidR="007E0B5A">
        <w:rPr>
          <w:lang w:val="en-US"/>
        </w:rPr>
        <w:t>IV</w:t>
      </w:r>
      <w:r w:rsidR="007E0B5A" w:rsidRPr="0046395C">
        <w:t>-</w:t>
      </w:r>
      <w:r w:rsidR="007E0B5A">
        <w:rPr>
          <w:lang w:val="en-US"/>
        </w:rPr>
        <w:t>V</w:t>
      </w:r>
      <w:r w:rsidR="007E0B5A">
        <w:t xml:space="preserve"> классов вредности (П-4)</w:t>
      </w:r>
      <w:r w:rsidR="007E0B5A" w:rsidRPr="00933C82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0D3447" w:rsidRPr="00772BD7" w:rsidRDefault="000D3447" w:rsidP="000D3447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4478EC">
        <w:rPr>
          <w:b/>
          <w:noProof/>
        </w:rPr>
        <w:t>4</w:t>
      </w:r>
      <w:r w:rsidR="00B90F8F">
        <w:rPr>
          <w:b/>
          <w:noProof/>
        </w:rPr>
        <w:t xml:space="preserve"> </w:t>
      </w:r>
      <w:r w:rsidR="00514B82" w:rsidRPr="00514B82">
        <w:rPr>
          <w:b/>
          <w:noProof/>
        </w:rPr>
        <w:t>(</w:t>
      </w:r>
      <w:r w:rsidR="004478EC">
        <w:rPr>
          <w:b/>
          <w:noProof/>
        </w:rPr>
        <w:t>четыре</w:t>
      </w:r>
      <w:r w:rsidR="00AE3DF9">
        <w:rPr>
          <w:b/>
          <w:noProof/>
        </w:rPr>
        <w:t>)</w:t>
      </w:r>
      <w:r w:rsidR="00514B82" w:rsidRPr="00514B82">
        <w:rPr>
          <w:b/>
          <w:noProof/>
        </w:rPr>
        <w:t xml:space="preserve"> год</w:t>
      </w:r>
      <w:r w:rsidR="007E0B5A">
        <w:rPr>
          <w:b/>
          <w:noProof/>
        </w:rPr>
        <w:t>а</w:t>
      </w:r>
      <w:r w:rsidR="00514B82" w:rsidRPr="00514B82">
        <w:rPr>
          <w:b/>
          <w:noProof/>
        </w:rPr>
        <w:t xml:space="preserve"> </w:t>
      </w:r>
      <w:r w:rsidR="004478EC">
        <w:rPr>
          <w:b/>
          <w:noProof/>
        </w:rPr>
        <w:t>6</w:t>
      </w:r>
      <w:r w:rsidR="00514B82" w:rsidRPr="00514B82">
        <w:rPr>
          <w:b/>
          <w:noProof/>
        </w:rPr>
        <w:t xml:space="preserve"> (</w:t>
      </w:r>
      <w:r w:rsidR="004478EC">
        <w:rPr>
          <w:b/>
          <w:noProof/>
        </w:rPr>
        <w:t>шесть</w:t>
      </w:r>
      <w:r w:rsidR="00514B82" w:rsidRPr="00514B82">
        <w:rPr>
          <w:b/>
          <w:noProof/>
        </w:rPr>
        <w:t xml:space="preserve">) </w:t>
      </w:r>
      <w:r w:rsidR="00B90F8F">
        <w:rPr>
          <w:b/>
          <w:noProof/>
        </w:rPr>
        <w:t>месяц</w:t>
      </w:r>
      <w:r w:rsidR="004478EC">
        <w:rPr>
          <w:b/>
          <w:noProof/>
        </w:rPr>
        <w:t>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0D3447" w:rsidRDefault="000D3447" w:rsidP="000D3447">
      <w:pPr>
        <w:suppressAutoHyphens w:val="0"/>
        <w:ind w:left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 xml:space="preserve">с даты подписания настоящего Договора, </w:t>
      </w:r>
      <w:r w:rsidRPr="00772BD7">
        <w:rPr>
          <w:rFonts w:ascii="Times New Roman" w:hAnsi="Times New Roman"/>
          <w:noProof/>
          <w:sz w:val="24"/>
          <w:szCs w:val="24"/>
        </w:rPr>
        <w:lastRenderedPageBreak/>
        <w:t>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</w:t>
      </w:r>
      <w:r w:rsidR="005A1F6F">
        <w:rPr>
          <w:rFonts w:ascii="Times New Roman" w:hAnsi="Times New Roman"/>
          <w:sz w:val="24"/>
          <w:szCs w:val="24"/>
        </w:rPr>
        <w:t>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6511CA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4478EC" w:rsidRPr="004478EC">
        <w:rPr>
          <w:rFonts w:ascii="Times New Roman" w:hAnsi="Times New Roman"/>
          <w:b/>
          <w:iCs/>
          <w:sz w:val="24"/>
          <w:szCs w:val="24"/>
        </w:rPr>
        <w:t>190 000 (сто девяносто тысяч</w:t>
      </w:r>
      <w:r w:rsidR="004478EC" w:rsidRPr="004478EC">
        <w:rPr>
          <w:rFonts w:ascii="Times New Roman" w:hAnsi="Times New Roman"/>
          <w:b/>
          <w:sz w:val="24"/>
          <w:szCs w:val="24"/>
        </w:rPr>
        <w:t>)</w:t>
      </w:r>
      <w:r w:rsidR="004478EC" w:rsidRPr="00A55ED2">
        <w:rPr>
          <w:sz w:val="24"/>
          <w:szCs w:val="24"/>
        </w:rPr>
        <w:t xml:space="preserve"> </w:t>
      </w:r>
      <w:r w:rsidR="007E0B5A" w:rsidRPr="007E0B5A">
        <w:rPr>
          <w:rFonts w:ascii="Times New Roman" w:hAnsi="Times New Roman"/>
          <w:b/>
          <w:iCs/>
          <w:sz w:val="24"/>
          <w:szCs w:val="24"/>
        </w:rPr>
        <w:t>рублей 00 копеек</w:t>
      </w:r>
      <w:r w:rsidR="0000320F" w:rsidRPr="0000320F">
        <w:rPr>
          <w:rFonts w:ascii="Times New Roman" w:hAnsi="Times New Roman"/>
          <w:iCs/>
          <w:sz w:val="24"/>
          <w:szCs w:val="24"/>
        </w:rPr>
        <w:t xml:space="preserve">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осуществлять контроль  за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0D3447">
        <w:t>;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</w:t>
      </w:r>
      <w:r w:rsidRPr="00772BD7">
        <w:lastRenderedPageBreak/>
        <w:t>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Default="00074982" w:rsidP="00074982">
      <w:pPr>
        <w:suppressAutoHyphens w:val="0"/>
        <w:ind w:left="705"/>
        <w:jc w:val="both"/>
      </w:pPr>
    </w:p>
    <w:p w:rsidR="00E64F53" w:rsidRDefault="00E64F53" w:rsidP="00074982">
      <w:pPr>
        <w:suppressAutoHyphens w:val="0"/>
        <w:ind w:left="705"/>
        <w:jc w:val="both"/>
      </w:pPr>
    </w:p>
    <w:p w:rsidR="00E64F53" w:rsidRDefault="00E64F53" w:rsidP="00074982">
      <w:pPr>
        <w:suppressAutoHyphens w:val="0"/>
        <w:ind w:left="705"/>
        <w:jc w:val="both"/>
      </w:pPr>
    </w:p>
    <w:p w:rsidR="00E64F53" w:rsidRPr="00772BD7" w:rsidRDefault="00E64F53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lastRenderedPageBreak/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="000D3447">
        <w:t xml:space="preserve">ОГРН </w:t>
      </w:r>
      <w:r w:rsidR="000D3447" w:rsidRPr="006C33D5">
        <w:t>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</w:t>
      </w:r>
      <w:r w:rsidR="000D344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67F38">
      <w:rPr>
        <w:noProof/>
      </w:rPr>
      <w:t>1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513F3"/>
    <w:rsid w:val="00051ED8"/>
    <w:rsid w:val="00074982"/>
    <w:rsid w:val="00075E73"/>
    <w:rsid w:val="000B0BDC"/>
    <w:rsid w:val="000D3447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67F38"/>
    <w:rsid w:val="003A5002"/>
    <w:rsid w:val="003D0268"/>
    <w:rsid w:val="0040109C"/>
    <w:rsid w:val="00422881"/>
    <w:rsid w:val="00426FC2"/>
    <w:rsid w:val="004309E4"/>
    <w:rsid w:val="004478EC"/>
    <w:rsid w:val="004701FD"/>
    <w:rsid w:val="00487AC7"/>
    <w:rsid w:val="00494BB3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A1F6F"/>
    <w:rsid w:val="005B08B6"/>
    <w:rsid w:val="005B7B1A"/>
    <w:rsid w:val="005D71A3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0B5A"/>
    <w:rsid w:val="007E23DC"/>
    <w:rsid w:val="00862A4F"/>
    <w:rsid w:val="00867436"/>
    <w:rsid w:val="00894214"/>
    <w:rsid w:val="008974D1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4F53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Блохина Татьяна Николаевна</cp:lastModifiedBy>
  <cp:revision>2</cp:revision>
  <cp:lastPrinted>2018-07-13T09:28:00Z</cp:lastPrinted>
  <dcterms:created xsi:type="dcterms:W3CDTF">2018-08-01T11:45:00Z</dcterms:created>
  <dcterms:modified xsi:type="dcterms:W3CDTF">2018-08-01T11:45:00Z</dcterms:modified>
</cp:coreProperties>
</file>